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напоминает: муниципалитеты могут вносить сведения о правообладателях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Согласно федеральному закону № 518-ФЗ от 30.12.2020 органы местного самоуправления могут проводить мероприятия по выявлению правообладателей ранее учтенных объектов недвижимости для внесения сведений в Единый государственный реестр недвижимости (ЕГРН).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рамках реализации комплексного плана по наполнению сведениями ЕГРН проводится цикл мероприятий для выявления и внесения данных, необходимых для определения кадастровой стоимости недвижимого объекта (категория земель, разрешенное использование), выявление правообладателей объектов с последующей регистрацией права, устранение дублирующих сведений, исключение технических и реестровых ошибок из реестра недвижимости.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Органы местного самоуправления наделены полномочиями по выявлению правообладателей объектов недвижимости и обеспечению внесения в ЕГРН таких данных. Информация о собственниках ранее учтенных объектов вносится на основании сведений, содержащихся в архивах загсов, налоговых, органов внутренних дел и нотариусов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Собственники также могут самостоятельно подать заявление о государственной регистрации ранее возникшего права, заявить свои права на недвижимость, тем самым обеспечив государственную защиту и избежав риска внесения некорректных данных.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Для оформления прав на недвижимое имущество необходимо обратить в МФЦ с заявлением, паспортом и документом, подтверждающем право, либо ранее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осуществленный государственный учет или государственную регистрацию права.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«Внесение в ЕГРН точных данных нужно, в первую очередь, правообладателям объектов. Сведения ЕГРН являются приоритетными и более достоверными, чем любые другие документы. Качество и полнота данных ЕГРН оказывают влияние на инвестиционную, экономическую и социальную составляющую любого региона,»</w:t>
      </w:r>
      <w:r>
        <w:rPr>
          <w:rFonts w:ascii="Times New Roman" w:hAnsi="Times New Roman" w:cs="Times New Roman"/>
          <w:bCs/>
          <w:sz w:val="28"/>
        </w:rPr>
        <w:t xml:space="preserve"> – отмечает</w:t>
      </w:r>
      <w:r>
        <w:rPr>
          <w:rFonts w:ascii="Times New Roman" w:hAnsi="Times New Roman" w:cs="Times New Roman"/>
          <w:b/>
          <w:bCs/>
          <w:sz w:val="28"/>
        </w:rPr>
        <w:t xml:space="preserve"> начальник отдела обеспечения ведения ЕГРН Алексей Осин.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Справочно</w:t>
      </w:r>
      <w:proofErr w:type="spellEnd"/>
      <w:r>
        <w:rPr>
          <w:rFonts w:ascii="Times New Roman" w:hAnsi="Times New Roman" w:cs="Times New Roman"/>
          <w:b/>
          <w:bCs/>
          <w:sz w:val="28"/>
        </w:rPr>
        <w:t>: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Ранее учтенными называют объекты недвижимости, которые поставлены на государственный кадастровый учет до 1 марта 2008 года (до вступления в силу Федерального закона от 24 июля 2007 г. №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221-ФЗ</w:t>
        </w:r>
      </w:hyperlink>
      <w:r>
        <w:rPr>
          <w:rFonts w:ascii="Times New Roman" w:hAnsi="Times New Roman" w:cs="Times New Roman"/>
          <w:bCs/>
          <w:sz w:val="28"/>
        </w:rPr>
        <w:t xml:space="preserve">), либо не учтены вовсе. Если одновременно права на объект возникли до 31 января 1998 года (до вступления в силу Федерального закона от 21 июля 1997 г. №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122-ФЗ</w:t>
        </w:r>
      </w:hyperlink>
      <w:r>
        <w:rPr>
          <w:rFonts w:ascii="Times New Roman" w:hAnsi="Times New Roman" w:cs="Times New Roman"/>
          <w:bCs/>
          <w:sz w:val="28"/>
        </w:rPr>
        <w:t>) и не прекращены по сей день.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5056C1"/>
    <w:multiLevelType w:val="hybridMultilevel"/>
    <w:tmpl w:val="D4EAB5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0088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287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74</cp:revision>
  <dcterms:created xsi:type="dcterms:W3CDTF">2021-07-30T12:29:00Z</dcterms:created>
  <dcterms:modified xsi:type="dcterms:W3CDTF">2021-10-21T09:06:00Z</dcterms:modified>
</cp:coreProperties>
</file>